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2D19CA" w:rsidRDefault="002D19CA" w:rsidP="002D19CA">
      <w:r>
        <w:t xml:space="preserve">Семьи, где родился первый ребёнок, получат от государства 466 617 рублей. При рождении второго ребёнка выплата увеличится на 150 тысяч рублей и составит в общей сложности 616 617 рублей. Программа </w:t>
      </w:r>
      <w:proofErr w:type="spellStart"/>
      <w:r>
        <w:t>маткапитала</w:t>
      </w:r>
      <w:proofErr w:type="spellEnd"/>
      <w:r>
        <w:t xml:space="preserve"> продлевается на 5 лет.</w:t>
      </w:r>
      <w:bookmarkStart w:id="0" w:name="_GoBack"/>
      <w:bookmarkEnd w:id="0"/>
    </w:p>
    <w:sectPr w:rsidR="00C73BF0" w:rsidRPr="002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5243B4"/>
    <w:rsid w:val="00581480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2020-03-04T09:57:00Z</dcterms:created>
  <dcterms:modified xsi:type="dcterms:W3CDTF">2020-03-04T09:57:00Z</dcterms:modified>
</cp:coreProperties>
</file>